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202" w:rsidRPr="00030202" w:rsidRDefault="00030202" w:rsidP="00030202">
      <w:pPr>
        <w:jc w:val="center"/>
        <w:rPr>
          <w:rFonts w:ascii="Plumb" w:hAnsi="Plumb"/>
          <w:b/>
          <w:sz w:val="24"/>
          <w:szCs w:val="24"/>
        </w:rPr>
      </w:pPr>
      <w:r w:rsidRPr="00030202">
        <w:rPr>
          <w:rFonts w:ascii="Plumb" w:hAnsi="Plumb" w:cs="Arial"/>
          <w:b/>
          <w:color w:val="363636"/>
          <w:sz w:val="28"/>
          <w:szCs w:val="28"/>
          <w:shd w:val="clear" w:color="auto" w:fill="FFFFFF"/>
        </w:rPr>
        <w:t>Консультация по бухгалтерскому учету и налогам СПб ГБУ «ЦРПП»</w:t>
      </w:r>
      <w:r w:rsidRPr="00030202">
        <w:rPr>
          <w:rFonts w:ascii="Plumb" w:hAnsi="Plumb" w:cs="Arial"/>
          <w:b/>
          <w:color w:val="363636"/>
          <w:sz w:val="28"/>
          <w:szCs w:val="28"/>
        </w:rPr>
        <w:br/>
      </w:r>
    </w:p>
    <w:p w:rsidR="00030202" w:rsidRPr="00244267" w:rsidRDefault="00030202" w:rsidP="00030202">
      <w:pPr>
        <w:rPr>
          <w:rFonts w:ascii="Plumb" w:hAnsi="Plumb"/>
          <w:sz w:val="24"/>
          <w:szCs w:val="24"/>
        </w:rPr>
      </w:pPr>
      <w:r w:rsidRPr="00244267">
        <w:rPr>
          <w:rFonts w:ascii="Plumb" w:hAnsi="Plumb"/>
          <w:b/>
          <w:sz w:val="24"/>
          <w:szCs w:val="24"/>
        </w:rPr>
        <w:t xml:space="preserve">1. Законодательные требования к ведению бухгалтерского учета. </w:t>
      </w:r>
      <w:r w:rsidRPr="00244267">
        <w:rPr>
          <w:rFonts w:ascii="Plumb" w:hAnsi="Plumb"/>
          <w:sz w:val="24"/>
          <w:szCs w:val="24"/>
        </w:rPr>
        <w:t xml:space="preserve">Ответственность за нарушение установленных требований: отсутствие первичных бухгалтерских документов, ошибки в бухгалтерском учете, исправление ошибок. Какую бухгалтерскую отчетность должны сдавать компании. Куда сдавать бухгалтерскую отчетность. </w:t>
      </w:r>
    </w:p>
    <w:p w:rsidR="00030202" w:rsidRPr="00244267" w:rsidRDefault="00030202" w:rsidP="00030202">
      <w:pPr>
        <w:rPr>
          <w:rFonts w:ascii="Plumb" w:hAnsi="Plumb"/>
          <w:sz w:val="24"/>
          <w:szCs w:val="24"/>
        </w:rPr>
      </w:pPr>
      <w:r w:rsidRPr="00244267">
        <w:rPr>
          <w:rFonts w:ascii="Plumb" w:hAnsi="Plumb"/>
          <w:b/>
          <w:sz w:val="24"/>
          <w:szCs w:val="24"/>
        </w:rPr>
        <w:t>2. Налоговая отчетность юридических лиц, применяющих ОСНО, УСН, ЕНВД, ЕСХН</w:t>
      </w:r>
      <w:r w:rsidR="00B50C37" w:rsidRPr="00244267">
        <w:rPr>
          <w:rFonts w:ascii="Plumb" w:hAnsi="Plumb"/>
          <w:b/>
          <w:sz w:val="24"/>
          <w:szCs w:val="24"/>
        </w:rPr>
        <w:t>, НПД</w:t>
      </w:r>
      <w:r w:rsidRPr="00244267">
        <w:rPr>
          <w:rFonts w:ascii="Plumb" w:hAnsi="Plumb"/>
          <w:sz w:val="24"/>
          <w:szCs w:val="24"/>
        </w:rPr>
        <w:t xml:space="preserve">: Какую отчетность и как сдавать, как заполнять декларации и уплачивать налоги. Сроки сдачи налоговой отчетности и уплаты налогов. Как и когда можно одновременно применять несколько систем налогообложения. </w:t>
      </w:r>
    </w:p>
    <w:p w:rsidR="00030202" w:rsidRPr="00244267" w:rsidRDefault="00030202" w:rsidP="00030202">
      <w:pPr>
        <w:rPr>
          <w:rFonts w:ascii="Plumb" w:hAnsi="Plumb"/>
          <w:sz w:val="24"/>
          <w:szCs w:val="24"/>
        </w:rPr>
      </w:pPr>
      <w:r w:rsidRPr="00244267">
        <w:rPr>
          <w:rFonts w:ascii="Plumb" w:hAnsi="Plumb"/>
          <w:b/>
          <w:sz w:val="24"/>
          <w:szCs w:val="24"/>
        </w:rPr>
        <w:t>3. Отчетность индивидуальных предпринимателей, применяющих ОСНО, УСН, ЕНВД, ЕСХН, ПСН, одновременно несколько систем налогообложения</w:t>
      </w:r>
      <w:r w:rsidRPr="00244267">
        <w:rPr>
          <w:rFonts w:ascii="Plumb" w:hAnsi="Plumb"/>
          <w:sz w:val="24"/>
          <w:szCs w:val="24"/>
        </w:rPr>
        <w:t xml:space="preserve">. Ведение книги учета дохода и расходов, порядок уменьшения НДФЛ при применении ОСНО. Уплата взносов ИП за себя и за работников, какую отчетность должен сдавать ИП по страховым взносам. </w:t>
      </w:r>
    </w:p>
    <w:p w:rsidR="00030202" w:rsidRPr="00244267" w:rsidRDefault="00030202" w:rsidP="00030202">
      <w:pPr>
        <w:rPr>
          <w:rFonts w:ascii="Plumb" w:hAnsi="Plumb"/>
          <w:b/>
          <w:sz w:val="24"/>
          <w:szCs w:val="24"/>
        </w:rPr>
      </w:pPr>
      <w:r w:rsidRPr="00244267">
        <w:rPr>
          <w:rFonts w:ascii="Plumb" w:hAnsi="Plumb"/>
          <w:b/>
          <w:sz w:val="24"/>
          <w:szCs w:val="24"/>
        </w:rPr>
        <w:t xml:space="preserve">4. Статистическая отчетность организаций и индивидуальных предпринимателей. </w:t>
      </w:r>
    </w:p>
    <w:p w:rsidR="00030202" w:rsidRPr="00244267" w:rsidRDefault="00030202" w:rsidP="00030202">
      <w:pPr>
        <w:rPr>
          <w:rFonts w:ascii="Plumb" w:hAnsi="Plumb"/>
          <w:sz w:val="24"/>
          <w:szCs w:val="24"/>
        </w:rPr>
      </w:pPr>
      <w:r w:rsidRPr="00244267">
        <w:rPr>
          <w:rFonts w:ascii="Plumb" w:hAnsi="Plumb"/>
          <w:b/>
          <w:sz w:val="24"/>
          <w:szCs w:val="24"/>
        </w:rPr>
        <w:t>5. Порядок применения контрольно-кассовой техники (далее - ККТ), ведение кассовых операций.</w:t>
      </w:r>
      <w:r w:rsidRPr="00244267">
        <w:rPr>
          <w:rFonts w:ascii="Plumb" w:hAnsi="Plumb"/>
          <w:sz w:val="24"/>
          <w:szCs w:val="24"/>
        </w:rPr>
        <w:t xml:space="preserve"> Когда компания должна применять ККТ, выдавать чеки при оплате пластиковой картой, при оплате товара через интернет, в ситуации, когда курьер доставляет товар и принимает деньги от покупателя. Ответственность за невыдачу чеков и за неверно выбитый чек. Как вести кассовую книгу, нужно ли вести кассовую книгу при ККТ нового образца. </w:t>
      </w:r>
    </w:p>
    <w:p w:rsidR="00030202" w:rsidRPr="00244267" w:rsidRDefault="00030202" w:rsidP="00030202">
      <w:pPr>
        <w:rPr>
          <w:rFonts w:ascii="Plumb" w:hAnsi="Plumb"/>
          <w:sz w:val="24"/>
          <w:szCs w:val="24"/>
        </w:rPr>
      </w:pPr>
      <w:r w:rsidRPr="00244267">
        <w:rPr>
          <w:rFonts w:ascii="Plumb" w:hAnsi="Plumb"/>
          <w:b/>
          <w:sz w:val="24"/>
          <w:szCs w:val="24"/>
        </w:rPr>
        <w:t xml:space="preserve">6. Требования к оформлению первичных учетных документов (подтверждение расходов). </w:t>
      </w:r>
      <w:r w:rsidRPr="00244267">
        <w:rPr>
          <w:rFonts w:ascii="Plumb" w:hAnsi="Plumb"/>
          <w:sz w:val="24"/>
          <w:szCs w:val="24"/>
        </w:rPr>
        <w:t xml:space="preserve">Как подтвердить расходы в налоговом учете по налогу на прибыль, единому налогу при УСН, по НДФЛ (для предпринимателей, применяющих </w:t>
      </w:r>
      <w:proofErr w:type="gramStart"/>
      <w:r w:rsidRPr="00244267">
        <w:rPr>
          <w:rFonts w:ascii="Plumb" w:hAnsi="Plumb"/>
          <w:sz w:val="24"/>
          <w:szCs w:val="24"/>
        </w:rPr>
        <w:t>ОСН</w:t>
      </w:r>
      <w:proofErr w:type="gramEnd"/>
      <w:r w:rsidRPr="00244267">
        <w:rPr>
          <w:rFonts w:ascii="Plumb" w:hAnsi="Plumb"/>
          <w:sz w:val="24"/>
          <w:szCs w:val="24"/>
        </w:rPr>
        <w:t xml:space="preserve">). Ответственность за нарушение установленных правил оформления. Что такое «принцип осмотрительности налогоплательщика». </w:t>
      </w:r>
    </w:p>
    <w:p w:rsidR="00030202" w:rsidRPr="00244267" w:rsidRDefault="00030202" w:rsidP="00030202">
      <w:pPr>
        <w:rPr>
          <w:rFonts w:ascii="Plumb" w:hAnsi="Plumb"/>
          <w:sz w:val="24"/>
          <w:szCs w:val="24"/>
        </w:rPr>
      </w:pPr>
      <w:r w:rsidRPr="00244267">
        <w:rPr>
          <w:rFonts w:ascii="Plumb" w:hAnsi="Plumb"/>
          <w:b/>
          <w:sz w:val="24"/>
          <w:szCs w:val="24"/>
        </w:rPr>
        <w:t>7. Отчетность во внебюджетные органы (ПФР, ФСС).</w:t>
      </w:r>
      <w:r w:rsidRPr="00244267">
        <w:rPr>
          <w:rFonts w:ascii="Plumb" w:hAnsi="Plumb"/>
          <w:sz w:val="24"/>
          <w:szCs w:val="24"/>
        </w:rPr>
        <w:t xml:space="preserve"> Когда уплачивать взносы за работников, когда ИП должен уплачивать взносы за себя. Какую отчетность и когда нужно сдавать в фонды за работников. Ответственность за неуплату и несвоевременное представление отчетности. Пониженные страховые взносы за работников. </w:t>
      </w:r>
    </w:p>
    <w:p w:rsidR="00030202" w:rsidRPr="00244267" w:rsidRDefault="00030202" w:rsidP="00030202">
      <w:pPr>
        <w:rPr>
          <w:rFonts w:ascii="Plumb" w:hAnsi="Plumb"/>
          <w:sz w:val="24"/>
          <w:szCs w:val="24"/>
        </w:rPr>
      </w:pPr>
      <w:r w:rsidRPr="00244267">
        <w:rPr>
          <w:rFonts w:ascii="Plumb" w:hAnsi="Plumb"/>
          <w:b/>
          <w:sz w:val="24"/>
          <w:szCs w:val="24"/>
        </w:rPr>
        <w:t>8. Трудовые отношения.</w:t>
      </w:r>
      <w:r w:rsidRPr="00244267">
        <w:rPr>
          <w:rFonts w:ascii="Plumb" w:hAnsi="Plumb"/>
          <w:sz w:val="24"/>
          <w:szCs w:val="24"/>
        </w:rPr>
        <w:t xml:space="preserve"> Отличие трудовых договоров </w:t>
      </w:r>
      <w:proofErr w:type="gramStart"/>
      <w:r w:rsidRPr="00244267">
        <w:rPr>
          <w:rFonts w:ascii="Plumb" w:hAnsi="Plumb"/>
          <w:sz w:val="24"/>
          <w:szCs w:val="24"/>
        </w:rPr>
        <w:t>от</w:t>
      </w:r>
      <w:proofErr w:type="gramEnd"/>
      <w:r w:rsidRPr="00244267">
        <w:rPr>
          <w:rFonts w:ascii="Plumb" w:hAnsi="Plumb"/>
          <w:sz w:val="24"/>
          <w:szCs w:val="24"/>
        </w:rPr>
        <w:t xml:space="preserve"> гражданско-правовых. Оплата труда иностранных работников. </w:t>
      </w:r>
    </w:p>
    <w:p w:rsidR="00030202" w:rsidRPr="00244267" w:rsidRDefault="00030202" w:rsidP="00030202">
      <w:pPr>
        <w:rPr>
          <w:rFonts w:ascii="Plumb" w:hAnsi="Plumb"/>
          <w:b/>
          <w:sz w:val="24"/>
          <w:szCs w:val="24"/>
        </w:rPr>
      </w:pPr>
      <w:r w:rsidRPr="00244267">
        <w:rPr>
          <w:rFonts w:ascii="Plumb" w:hAnsi="Plumb"/>
          <w:b/>
          <w:sz w:val="24"/>
          <w:szCs w:val="24"/>
        </w:rPr>
        <w:t xml:space="preserve">9. Учет </w:t>
      </w:r>
      <w:proofErr w:type="spellStart"/>
      <w:r w:rsidRPr="00244267">
        <w:rPr>
          <w:rFonts w:ascii="Plumb" w:hAnsi="Plumb"/>
          <w:b/>
          <w:sz w:val="24"/>
          <w:szCs w:val="24"/>
        </w:rPr>
        <w:t>самозанятого</w:t>
      </w:r>
      <w:proofErr w:type="spellEnd"/>
      <w:r w:rsidRPr="00244267">
        <w:rPr>
          <w:rFonts w:ascii="Plumb" w:hAnsi="Plumb"/>
          <w:b/>
          <w:sz w:val="24"/>
          <w:szCs w:val="24"/>
        </w:rPr>
        <w:t xml:space="preserve"> населения. </w:t>
      </w:r>
    </w:p>
    <w:p w:rsidR="00030202" w:rsidRPr="00244267" w:rsidRDefault="00030202" w:rsidP="00030202">
      <w:pPr>
        <w:rPr>
          <w:rFonts w:ascii="Plumb" w:hAnsi="Plumb"/>
          <w:b/>
          <w:sz w:val="24"/>
          <w:szCs w:val="24"/>
        </w:rPr>
      </w:pPr>
      <w:r w:rsidRPr="00244267">
        <w:rPr>
          <w:rFonts w:ascii="Plumb" w:hAnsi="Plumb"/>
          <w:b/>
          <w:sz w:val="24"/>
          <w:szCs w:val="24"/>
        </w:rPr>
        <w:t xml:space="preserve">10. НКО – некоммерческие организации. </w:t>
      </w:r>
    </w:p>
    <w:p w:rsidR="00030202" w:rsidRPr="00244267" w:rsidRDefault="00030202" w:rsidP="00030202">
      <w:pPr>
        <w:rPr>
          <w:rFonts w:ascii="Plumb" w:hAnsi="Plumb"/>
          <w:b/>
          <w:sz w:val="24"/>
          <w:szCs w:val="24"/>
        </w:rPr>
      </w:pPr>
      <w:r w:rsidRPr="00244267">
        <w:rPr>
          <w:rFonts w:ascii="Plumb" w:hAnsi="Plumb"/>
          <w:b/>
          <w:sz w:val="24"/>
          <w:szCs w:val="24"/>
        </w:rPr>
        <w:lastRenderedPageBreak/>
        <w:t xml:space="preserve">11. Правила заверки копий документов для контролирующих органов, возврат налогов. </w:t>
      </w:r>
    </w:p>
    <w:p w:rsidR="00030202" w:rsidRPr="00244267" w:rsidRDefault="00030202" w:rsidP="00030202">
      <w:pPr>
        <w:rPr>
          <w:rFonts w:ascii="Plumb" w:hAnsi="Plumb"/>
          <w:b/>
          <w:sz w:val="24"/>
          <w:szCs w:val="24"/>
        </w:rPr>
      </w:pPr>
      <w:r w:rsidRPr="00244267">
        <w:rPr>
          <w:rFonts w:ascii="Plumb" w:hAnsi="Plumb"/>
          <w:b/>
          <w:sz w:val="24"/>
          <w:szCs w:val="24"/>
        </w:rPr>
        <w:t xml:space="preserve">12. Проверки малого и среднего бизнеса. </w:t>
      </w:r>
    </w:p>
    <w:p w:rsidR="00030202" w:rsidRPr="00244267" w:rsidRDefault="00030202" w:rsidP="00030202">
      <w:pPr>
        <w:rPr>
          <w:rFonts w:ascii="Plumb" w:hAnsi="Plumb"/>
          <w:b/>
          <w:sz w:val="24"/>
          <w:szCs w:val="24"/>
        </w:rPr>
      </w:pPr>
      <w:r w:rsidRPr="00244267">
        <w:rPr>
          <w:rFonts w:ascii="Plumb" w:hAnsi="Plumb"/>
          <w:b/>
          <w:sz w:val="24"/>
          <w:szCs w:val="24"/>
        </w:rPr>
        <w:t>13. Ликвидация общества с ограниченной ответственностью</w:t>
      </w:r>
      <w:r w:rsidR="00B50C37" w:rsidRPr="00244267">
        <w:rPr>
          <w:rFonts w:ascii="Plumb" w:hAnsi="Plumb"/>
          <w:b/>
          <w:sz w:val="24"/>
          <w:szCs w:val="24"/>
        </w:rPr>
        <w:t>: добровольно,</w:t>
      </w:r>
      <w:r w:rsidRPr="00244267">
        <w:rPr>
          <w:rFonts w:ascii="Plumb" w:hAnsi="Plumb"/>
          <w:b/>
          <w:sz w:val="24"/>
          <w:szCs w:val="24"/>
        </w:rPr>
        <w:t xml:space="preserve"> принудительно. </w:t>
      </w:r>
      <w:r w:rsidR="00B50C37" w:rsidRPr="00244267">
        <w:rPr>
          <w:rFonts w:ascii="Plumb" w:hAnsi="Plumb"/>
          <w:b/>
          <w:sz w:val="24"/>
          <w:szCs w:val="24"/>
        </w:rPr>
        <w:t>Реорганизация, слияние, смена участников общества.</w:t>
      </w:r>
    </w:p>
    <w:p w:rsidR="00030202" w:rsidRPr="00244267" w:rsidRDefault="00030202" w:rsidP="00030202">
      <w:pPr>
        <w:rPr>
          <w:rFonts w:ascii="Plumb" w:hAnsi="Plumb"/>
          <w:sz w:val="24"/>
          <w:szCs w:val="24"/>
        </w:rPr>
      </w:pPr>
      <w:r w:rsidRPr="00244267">
        <w:rPr>
          <w:rFonts w:ascii="Plumb" w:hAnsi="Plumb"/>
          <w:b/>
          <w:sz w:val="24"/>
          <w:szCs w:val="24"/>
        </w:rPr>
        <w:t xml:space="preserve">14. Федеральные налоги: </w:t>
      </w:r>
    </w:p>
    <w:p w:rsidR="00030202" w:rsidRPr="00244267" w:rsidRDefault="00030202" w:rsidP="00030202">
      <w:pPr>
        <w:rPr>
          <w:rFonts w:ascii="Plumb" w:hAnsi="Plumb"/>
          <w:sz w:val="24"/>
          <w:szCs w:val="24"/>
        </w:rPr>
      </w:pPr>
      <w:r w:rsidRPr="00244267">
        <w:rPr>
          <w:rFonts w:ascii="Plumb" w:hAnsi="Plumb"/>
          <w:sz w:val="24"/>
          <w:szCs w:val="24"/>
        </w:rPr>
        <w:t xml:space="preserve">а) НДС – налог на добавленную стоимость: Какие операции облагаются НДС, а какие нет. Применение ставок по НДС: 20%, 10%, 0%. Порядок подтверждения НДС при экспорте, порядок принятия НДС к вычету при экспорте. Уплата НДС в качестве налогового агента. Выставление счетов фактур при УСН, при посреднической деятельности. НДС при договоре простого товарищества. Компенсация физическим лицам – гражданам иностранных государств суммы НДС. Возврат товара, гарантийный ремонт. </w:t>
      </w:r>
    </w:p>
    <w:p w:rsidR="00030202" w:rsidRPr="00244267" w:rsidRDefault="00030202" w:rsidP="00030202">
      <w:pPr>
        <w:rPr>
          <w:rFonts w:ascii="Plumb" w:hAnsi="Plumb"/>
          <w:sz w:val="24"/>
          <w:szCs w:val="24"/>
        </w:rPr>
      </w:pPr>
      <w:r w:rsidRPr="00244267">
        <w:rPr>
          <w:rFonts w:ascii="Plumb" w:hAnsi="Plumb"/>
          <w:sz w:val="24"/>
          <w:szCs w:val="24"/>
        </w:rPr>
        <w:t xml:space="preserve">б) Налог на прибыль: Принятие расходов к учету по налогу на прибыль. Какие доходы и поступления денежных средств не облагаются налогом. Группировка расходов по реализации – прямые и косвенные. Группировка расходов при совмещении деятельности – общая система налогообложения и ЕНВД. Принятие к учету по налогу на прибыль расходов по оплате труда. Нормирование расходов по налогу на прибыль – представительские расходы, расходы на рекламу, проценты по займам. Учет доходов и расходов по долгосрочным договорам (договорам, заключенным на срок более одного года). Порядок уплаты авансовых платежей по налогу на прибыль. Налог на прибыль при применении договора об избежание двойного налогообложения (при ведении внешнеэкономической деятельности). Перенос убытков. </w:t>
      </w:r>
    </w:p>
    <w:p w:rsidR="00030202" w:rsidRPr="00244267" w:rsidRDefault="00030202" w:rsidP="00030202">
      <w:pPr>
        <w:rPr>
          <w:rFonts w:ascii="Plumb" w:hAnsi="Plumb"/>
          <w:sz w:val="24"/>
          <w:szCs w:val="24"/>
        </w:rPr>
      </w:pPr>
      <w:r w:rsidRPr="00244267">
        <w:rPr>
          <w:rFonts w:ascii="Plumb" w:hAnsi="Plumb"/>
          <w:sz w:val="24"/>
          <w:szCs w:val="24"/>
        </w:rPr>
        <w:t xml:space="preserve">в) НДФЛ – налог на доходы физических лиц. Порядок уплаты налога. Порядок применения вычетов по НДФЛ. Уплата НДФЛ по разным ставкам: 13%, 30%,35%. Освобождение от </w:t>
      </w:r>
      <w:r w:rsidR="00B50C37" w:rsidRPr="00244267">
        <w:rPr>
          <w:rFonts w:ascii="Plumb" w:hAnsi="Plumb"/>
          <w:sz w:val="24"/>
          <w:szCs w:val="24"/>
        </w:rPr>
        <w:t>уплаты</w:t>
      </w:r>
      <w:r w:rsidRPr="00244267">
        <w:rPr>
          <w:rFonts w:ascii="Plumb" w:hAnsi="Plumb"/>
          <w:sz w:val="24"/>
          <w:szCs w:val="24"/>
        </w:rPr>
        <w:t xml:space="preserve"> налога. </w:t>
      </w:r>
    </w:p>
    <w:p w:rsidR="00030202" w:rsidRPr="00244267" w:rsidRDefault="00030202" w:rsidP="00030202">
      <w:pPr>
        <w:rPr>
          <w:rFonts w:ascii="Plumb" w:hAnsi="Plumb"/>
          <w:sz w:val="24"/>
          <w:szCs w:val="24"/>
        </w:rPr>
      </w:pPr>
      <w:r w:rsidRPr="00244267">
        <w:rPr>
          <w:rFonts w:ascii="Plumb" w:hAnsi="Plumb"/>
          <w:sz w:val="24"/>
          <w:szCs w:val="24"/>
        </w:rPr>
        <w:t>г) Акцизы: Налогоплательщики, объект налогообложения. Операции, не подлежащие (освобождаемые) от налогообложения. Налогообложение при ввозе и вывозе подакцизных товаров ЕАЭС. Налоговые вычеты. Возмещение акциза.</w:t>
      </w:r>
    </w:p>
    <w:p w:rsidR="00030202" w:rsidRPr="00244267" w:rsidRDefault="00030202" w:rsidP="00030202">
      <w:pPr>
        <w:rPr>
          <w:rFonts w:ascii="Plumb" w:hAnsi="Plumb"/>
          <w:sz w:val="24"/>
          <w:szCs w:val="24"/>
        </w:rPr>
      </w:pPr>
      <w:r w:rsidRPr="00244267">
        <w:rPr>
          <w:rFonts w:ascii="Plumb" w:hAnsi="Plumb"/>
          <w:sz w:val="24"/>
          <w:szCs w:val="24"/>
        </w:rPr>
        <w:t xml:space="preserve"> д) Водный налог. Налогоплательщики, объект налогообложения. Налоговая база, ставки, декларация. </w:t>
      </w:r>
    </w:p>
    <w:p w:rsidR="00030202" w:rsidRPr="00244267" w:rsidRDefault="00030202" w:rsidP="00030202">
      <w:pPr>
        <w:rPr>
          <w:rFonts w:ascii="Plumb" w:hAnsi="Plumb"/>
          <w:sz w:val="24"/>
          <w:szCs w:val="24"/>
        </w:rPr>
      </w:pPr>
      <w:r w:rsidRPr="00244267">
        <w:rPr>
          <w:rFonts w:ascii="Plumb" w:hAnsi="Plumb"/>
          <w:sz w:val="24"/>
          <w:szCs w:val="24"/>
        </w:rPr>
        <w:t xml:space="preserve">е) НДПИ - налог на добычу полезных ископаемых. </w:t>
      </w:r>
    </w:p>
    <w:p w:rsidR="00030202" w:rsidRPr="00244267" w:rsidRDefault="00030202" w:rsidP="00030202">
      <w:pPr>
        <w:rPr>
          <w:rFonts w:ascii="Plumb" w:hAnsi="Plumb"/>
          <w:sz w:val="24"/>
          <w:szCs w:val="24"/>
        </w:rPr>
      </w:pPr>
      <w:r w:rsidRPr="00244267">
        <w:rPr>
          <w:rFonts w:ascii="Plumb" w:hAnsi="Plumb"/>
          <w:sz w:val="24"/>
          <w:szCs w:val="24"/>
        </w:rPr>
        <w:t xml:space="preserve">ж) Налог на дополнительный доход от добычи углеводородного сырья. </w:t>
      </w:r>
    </w:p>
    <w:p w:rsidR="00030202" w:rsidRPr="00244267" w:rsidRDefault="00030202" w:rsidP="00030202">
      <w:pPr>
        <w:rPr>
          <w:rFonts w:ascii="Plumb" w:hAnsi="Plumb"/>
          <w:sz w:val="24"/>
          <w:szCs w:val="24"/>
        </w:rPr>
      </w:pPr>
      <w:r w:rsidRPr="00244267">
        <w:rPr>
          <w:rFonts w:ascii="Plumb" w:hAnsi="Plumb"/>
          <w:sz w:val="24"/>
          <w:szCs w:val="24"/>
        </w:rPr>
        <w:t xml:space="preserve">з) Сбор за пользование объектами животного мира и водных биологических ресурсов. </w:t>
      </w:r>
    </w:p>
    <w:p w:rsidR="00030202" w:rsidRPr="00244267" w:rsidRDefault="00030202" w:rsidP="00030202">
      <w:pPr>
        <w:rPr>
          <w:rFonts w:ascii="Plumb" w:hAnsi="Plumb"/>
          <w:sz w:val="24"/>
          <w:szCs w:val="24"/>
        </w:rPr>
      </w:pPr>
      <w:r w:rsidRPr="00244267">
        <w:rPr>
          <w:rFonts w:ascii="Plumb" w:hAnsi="Plumb"/>
          <w:sz w:val="24"/>
          <w:szCs w:val="24"/>
        </w:rPr>
        <w:lastRenderedPageBreak/>
        <w:t xml:space="preserve">и) Государственная пошлина. </w:t>
      </w:r>
    </w:p>
    <w:p w:rsidR="00030202" w:rsidRPr="00244267" w:rsidRDefault="00030202" w:rsidP="00030202">
      <w:pPr>
        <w:rPr>
          <w:rFonts w:ascii="Plumb" w:hAnsi="Plumb"/>
          <w:b/>
          <w:sz w:val="24"/>
          <w:szCs w:val="24"/>
        </w:rPr>
      </w:pPr>
      <w:r w:rsidRPr="00244267">
        <w:rPr>
          <w:rFonts w:ascii="Plumb" w:hAnsi="Plumb"/>
          <w:b/>
          <w:sz w:val="24"/>
          <w:szCs w:val="24"/>
        </w:rPr>
        <w:t>15. Специальные налоговые режимы.</w:t>
      </w:r>
      <w:r w:rsidRPr="00244267">
        <w:rPr>
          <w:rFonts w:ascii="Plumb" w:hAnsi="Plumb"/>
          <w:sz w:val="24"/>
          <w:szCs w:val="24"/>
        </w:rPr>
        <w:t xml:space="preserve"> ЕСХН – единый сельскохозяйственный налог. УСН – упрощенная система налогообложения. Система налогообложения при выполнении соглашений о разделе продукции. Патентная система (только для индивидуальных предпринимателей). </w:t>
      </w:r>
      <w:r w:rsidR="00B50C37" w:rsidRPr="00244267">
        <w:rPr>
          <w:rFonts w:ascii="Plumb" w:hAnsi="Plumb"/>
          <w:b/>
          <w:sz w:val="24"/>
          <w:szCs w:val="24"/>
        </w:rPr>
        <w:t>Нал</w:t>
      </w:r>
      <w:bookmarkStart w:id="0" w:name="_GoBack"/>
      <w:bookmarkEnd w:id="0"/>
      <w:r w:rsidR="00B50C37" w:rsidRPr="00244267">
        <w:rPr>
          <w:rFonts w:ascii="Plumb" w:hAnsi="Plumb"/>
          <w:b/>
          <w:sz w:val="24"/>
          <w:szCs w:val="24"/>
        </w:rPr>
        <w:t>ог на профессиональный доход</w:t>
      </w:r>
      <w:r w:rsidR="00300B61" w:rsidRPr="00244267">
        <w:rPr>
          <w:rFonts w:ascii="Plumb" w:hAnsi="Plumb"/>
          <w:b/>
          <w:sz w:val="24"/>
          <w:szCs w:val="24"/>
        </w:rPr>
        <w:t xml:space="preserve"> (физические лица и индивидуальные предприниматели).</w:t>
      </w:r>
    </w:p>
    <w:p w:rsidR="00030202" w:rsidRPr="00244267" w:rsidRDefault="00030202" w:rsidP="00030202">
      <w:pPr>
        <w:rPr>
          <w:rFonts w:ascii="Plumb" w:hAnsi="Plumb"/>
          <w:sz w:val="24"/>
          <w:szCs w:val="24"/>
        </w:rPr>
      </w:pPr>
      <w:r w:rsidRPr="00244267">
        <w:rPr>
          <w:rFonts w:ascii="Plumb" w:hAnsi="Plumb"/>
          <w:b/>
          <w:sz w:val="24"/>
          <w:szCs w:val="24"/>
        </w:rPr>
        <w:t>16. Региональные налоги и сборы.</w:t>
      </w:r>
      <w:r w:rsidRPr="00244267">
        <w:rPr>
          <w:rFonts w:ascii="Plumb" w:hAnsi="Plumb"/>
          <w:sz w:val="24"/>
          <w:szCs w:val="24"/>
        </w:rPr>
        <w:t xml:space="preserve"> а) Транспортный налог. Налогоплательщики, объект налогообложения. Налоговые льготы. Уплата налога и сдача декларации по налогу. Уплата транспортного налога филиалом или представительством. б) Налог на имущество организаций. Налог на движимое имущество. Изменение кадастровой стоимости имущества в течение года. Расчет налога на имущество. Порядок уплаты и представления деклараций (расчетов) по налогу.</w:t>
      </w:r>
    </w:p>
    <w:p w:rsidR="00030202" w:rsidRPr="00244267" w:rsidRDefault="00030202" w:rsidP="00030202">
      <w:pPr>
        <w:rPr>
          <w:rFonts w:ascii="Plumb" w:hAnsi="Plumb"/>
          <w:sz w:val="24"/>
          <w:szCs w:val="24"/>
        </w:rPr>
      </w:pPr>
      <w:r w:rsidRPr="00244267">
        <w:rPr>
          <w:rFonts w:ascii="Plumb" w:hAnsi="Plumb"/>
          <w:b/>
          <w:sz w:val="24"/>
          <w:szCs w:val="24"/>
        </w:rPr>
        <w:t xml:space="preserve"> 17. Местные налоги и сборы</w:t>
      </w:r>
      <w:proofErr w:type="gramStart"/>
      <w:r w:rsidRPr="00244267">
        <w:rPr>
          <w:rFonts w:ascii="Plumb" w:hAnsi="Plumb"/>
          <w:b/>
          <w:sz w:val="24"/>
          <w:szCs w:val="24"/>
        </w:rPr>
        <w:t>.</w:t>
      </w:r>
      <w:r w:rsidRPr="00244267">
        <w:rPr>
          <w:rFonts w:ascii="Plumb" w:hAnsi="Plumb"/>
          <w:sz w:val="24"/>
          <w:szCs w:val="24"/>
        </w:rPr>
        <w:t>а</w:t>
      </w:r>
      <w:proofErr w:type="gramEnd"/>
      <w:r w:rsidRPr="00244267">
        <w:rPr>
          <w:rFonts w:ascii="Plumb" w:hAnsi="Plumb"/>
          <w:sz w:val="24"/>
          <w:szCs w:val="24"/>
        </w:rPr>
        <w:t xml:space="preserve">) Земельный налог. б) Налог на имущество физических лиц. в) Торговый сбор. </w:t>
      </w:r>
    </w:p>
    <w:p w:rsidR="0091042D" w:rsidRPr="00244267" w:rsidRDefault="00030202" w:rsidP="00030202">
      <w:pPr>
        <w:rPr>
          <w:rFonts w:ascii="Plumb" w:hAnsi="Plumb"/>
          <w:b/>
          <w:sz w:val="24"/>
          <w:szCs w:val="24"/>
        </w:rPr>
      </w:pPr>
      <w:r w:rsidRPr="00244267">
        <w:rPr>
          <w:rFonts w:ascii="Plumb" w:hAnsi="Plumb"/>
          <w:b/>
          <w:sz w:val="24"/>
          <w:szCs w:val="24"/>
        </w:rPr>
        <w:t>18. Страховые взносы в Российской Федерации.</w:t>
      </w:r>
    </w:p>
    <w:sectPr w:rsidR="0091042D" w:rsidRPr="00244267" w:rsidSect="00AE25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lumb">
    <w:altName w:val="Courier New"/>
    <w:panose1 w:val="00000500000000000000"/>
    <w:charset w:val="CC"/>
    <w:family w:val="decorative"/>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030202"/>
    <w:rsid w:val="00030202"/>
    <w:rsid w:val="00244267"/>
    <w:rsid w:val="00300B61"/>
    <w:rsid w:val="0091042D"/>
    <w:rsid w:val="00AE25A3"/>
    <w:rsid w:val="00B50C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5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0202"/>
    <w:pPr>
      <w:ind w:left="720"/>
      <w:contextualSpacing/>
    </w:pPr>
  </w:style>
  <w:style w:type="character" w:styleId="a4">
    <w:name w:val="Hyperlink"/>
    <w:basedOn w:val="a0"/>
    <w:uiPriority w:val="99"/>
    <w:semiHidden/>
    <w:unhideWhenUsed/>
    <w:rsid w:val="0003020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0202"/>
    <w:pPr>
      <w:ind w:left="720"/>
      <w:contextualSpacing/>
    </w:pPr>
  </w:style>
  <w:style w:type="character" w:styleId="a4">
    <w:name w:val="Hyperlink"/>
    <w:basedOn w:val="a0"/>
    <w:uiPriority w:val="99"/>
    <w:semiHidden/>
    <w:unhideWhenUsed/>
    <w:rsid w:val="000302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815</Words>
  <Characters>4649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Кудашкин Ярослав Владимирович</dc:creator>
  <cp:lastModifiedBy>Кудашкин Ярослав Владимирович</cp:lastModifiedBy>
  <cp:revision>3</cp:revision>
  <dcterms:created xsi:type="dcterms:W3CDTF">2020-08-06T10:37:00Z</dcterms:created>
  <dcterms:modified xsi:type="dcterms:W3CDTF">2020-08-06T10:50:00Z</dcterms:modified>
</cp:coreProperties>
</file>